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</w:t>
      </w:r>
      <w:proofErr w:type="gramStart"/>
      <w:r>
        <w:rPr>
          <w:rFonts w:eastAsiaTheme="minorEastAsia" w:hint="eastAsia"/>
          <w:sz w:val="28"/>
          <w:szCs w:val="28"/>
        </w:rPr>
        <w:t>可</w:t>
      </w:r>
      <w:proofErr w:type="gramEnd"/>
      <w:r>
        <w:rPr>
          <w:rFonts w:eastAsiaTheme="minorEastAsia" w:hint="eastAsia"/>
          <w:sz w:val="28"/>
          <w:szCs w:val="28"/>
        </w:rPr>
        <w:t>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</w:t>
      </w:r>
      <w:proofErr w:type="gramStart"/>
      <w:r>
        <w:rPr>
          <w:rFonts w:eastAsiaTheme="minorEastAsia" w:hint="eastAsia"/>
          <w:sz w:val="28"/>
          <w:szCs w:val="28"/>
        </w:rPr>
        <w:t>所段晚锁</w:t>
      </w:r>
      <w:proofErr w:type="gramEnd"/>
      <w:r>
        <w:rPr>
          <w:rFonts w:eastAsiaTheme="minorEastAsia" w:hint="eastAsia"/>
          <w:sz w:val="28"/>
          <w:szCs w:val="28"/>
        </w:rPr>
        <w:t>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proofErr w:type="spellStart"/>
      <w:r>
        <w:rPr>
          <w:rFonts w:eastAsiaTheme="minorEastAsia" w:hint="eastAsia"/>
          <w:sz w:val="28"/>
          <w:szCs w:val="28"/>
        </w:rPr>
        <w:t>EnKF</w:t>
      </w:r>
      <w:proofErr w:type="spellEnd"/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 xml:space="preserve">tochastic </w:t>
      </w:r>
      <w:proofErr w:type="spellStart"/>
      <w:r>
        <w:rPr>
          <w:rFonts w:eastAsiaTheme="minorEastAsia"/>
          <w:sz w:val="28"/>
          <w:szCs w:val="28"/>
        </w:rPr>
        <w:t>optimal</w:t>
      </w:r>
      <w:r w:rsidR="002A5163">
        <w:rPr>
          <w:rFonts w:eastAsiaTheme="minorEastAsia"/>
          <w:sz w:val="28"/>
          <w:szCs w:val="28"/>
        </w:rPr>
        <w:t>s</w:t>
      </w:r>
      <w:proofErr w:type="spellEnd"/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5B4A9682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C22EDB">
        <w:rPr>
          <w:rFonts w:eastAsiaTheme="minorEastAsia" w:hint="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年</w:t>
      </w:r>
      <w:r w:rsidR="00776B00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拉尼</w:t>
      </w:r>
      <w:proofErr w:type="gramStart"/>
      <w:r w:rsidR="00E62552">
        <w:rPr>
          <w:rFonts w:eastAsiaTheme="minorEastAsia" w:hint="eastAsia"/>
          <w:sz w:val="28"/>
          <w:szCs w:val="28"/>
        </w:rPr>
        <w:t>娜</w:t>
      </w:r>
      <w:proofErr w:type="gramEnd"/>
      <w:r w:rsidR="00D4130B">
        <w:rPr>
          <w:rFonts w:eastAsiaTheme="minorEastAsia" w:hint="eastAsia"/>
          <w:sz w:val="28"/>
          <w:szCs w:val="28"/>
        </w:rPr>
        <w:t>状态</w:t>
      </w:r>
      <w:r w:rsidR="00BD0695">
        <w:rPr>
          <w:rFonts w:eastAsiaTheme="minorEastAsia" w:hint="eastAsia"/>
          <w:sz w:val="28"/>
          <w:szCs w:val="28"/>
        </w:rPr>
        <w:t>将维持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</w:rPr>
              <w:t>EnKF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  <w:proofErr w:type="spellEnd"/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a,b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6942F22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B59404D" w14:textId="47F52FDC" w:rsidR="004A61CE" w:rsidRDefault="004A61CE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5B0D03B" w14:textId="0FFF8AA1" w:rsidR="001C759D" w:rsidRDefault="001C759D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1A08B5B3" w14:textId="31D1EB44" w:rsidR="00066B84" w:rsidRDefault="00066B8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0D54823" w14:textId="1E87507C" w:rsidR="00895DC6" w:rsidRDefault="00895DC6" w:rsidP="00776B00">
      <w:pPr>
        <w:spacing w:line="360" w:lineRule="auto"/>
        <w:rPr>
          <w:rFonts w:eastAsiaTheme="minorEastAsia" w:hint="eastAsia"/>
          <w:sz w:val="24"/>
          <w:szCs w:val="24"/>
        </w:rPr>
      </w:pPr>
    </w:p>
    <w:p w14:paraId="0E430EAD" w14:textId="7330202B" w:rsidR="00776B00" w:rsidRDefault="00776B00" w:rsidP="00972B6B">
      <w:pPr>
        <w:spacing w:line="360" w:lineRule="auto"/>
        <w:jc w:val="center"/>
        <w:rPr>
          <w:rFonts w:eastAsiaTheme="minorEastAsia" w:hint="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3C8CD7BB" wp14:editId="48276110">
            <wp:extent cx="5735320" cy="3441469"/>
            <wp:effectExtent l="0" t="0" r="0" b="6985"/>
            <wp:docPr id="172711067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183" cy="34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6A7DA790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C22EDB">
        <w:rPr>
          <w:rFonts w:eastAsiaTheme="minorEastAsia" w:hint="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年</w:t>
      </w:r>
      <w:r w:rsidR="00776B00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0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lastRenderedPageBreak/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0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</w:t>
      </w:r>
      <w:proofErr w:type="spellStart"/>
      <w:r w:rsidRPr="00EC66CA">
        <w:rPr>
          <w:rFonts w:eastAsia="宋体"/>
          <w:color w:val="000000"/>
          <w:szCs w:val="21"/>
          <w:shd w:val="clear" w:color="auto" w:fill="FFFFFF"/>
        </w:rPr>
        <w:t>Vannitsem</w:t>
      </w:r>
      <w:proofErr w:type="spellEnd"/>
      <w:r w:rsidRPr="00EC66CA">
        <w:rPr>
          <w:rFonts w:eastAsia="宋体"/>
          <w:color w:val="000000"/>
          <w:szCs w:val="21"/>
          <w:shd w:val="clear" w:color="auto" w:fill="FFFFFF"/>
        </w:rPr>
        <w:t xml:space="preserve">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</w:t>
      </w:r>
      <w:proofErr w:type="spellStart"/>
      <w:r w:rsidR="00293AC8" w:rsidRPr="00293AC8">
        <w:rPr>
          <w:szCs w:val="21"/>
        </w:rPr>
        <w:t>Te</w:t>
      </w:r>
      <w:proofErr w:type="spellEnd"/>
      <w:r w:rsidR="00293AC8" w:rsidRPr="00293AC8">
        <w:rPr>
          <w:szCs w:val="21"/>
        </w:rPr>
        <w:t>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FC66" w14:textId="77777777" w:rsidR="00ED5FEE" w:rsidRDefault="00ED5FEE" w:rsidP="00EC66CA">
      <w:r>
        <w:separator/>
      </w:r>
    </w:p>
  </w:endnote>
  <w:endnote w:type="continuationSeparator" w:id="0">
    <w:p w14:paraId="23A194EE" w14:textId="77777777" w:rsidR="00ED5FEE" w:rsidRDefault="00ED5FEE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AD2F" w14:textId="77777777" w:rsidR="00ED5FEE" w:rsidRDefault="00ED5FEE" w:rsidP="00EC66CA">
      <w:r>
        <w:separator/>
      </w:r>
    </w:p>
  </w:footnote>
  <w:footnote w:type="continuationSeparator" w:id="0">
    <w:p w14:paraId="635BFBB3" w14:textId="77777777" w:rsidR="00ED5FEE" w:rsidRDefault="00ED5FEE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8681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D7"/>
    <w:rsid w:val="00017C10"/>
    <w:rsid w:val="00025BF8"/>
    <w:rsid w:val="00025E1A"/>
    <w:rsid w:val="00026634"/>
    <w:rsid w:val="00034F79"/>
    <w:rsid w:val="00066B84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C759D"/>
    <w:rsid w:val="001D529F"/>
    <w:rsid w:val="001E20BC"/>
    <w:rsid w:val="001E23B0"/>
    <w:rsid w:val="001F6675"/>
    <w:rsid w:val="00222F3D"/>
    <w:rsid w:val="00234C34"/>
    <w:rsid w:val="002361D1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06707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A61CE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A70A9"/>
    <w:rsid w:val="006E0611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76B00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95DC6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2EDB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1C65"/>
    <w:rsid w:val="00CD6FFF"/>
    <w:rsid w:val="00CE33DC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179C1"/>
    <w:rsid w:val="00E224F4"/>
    <w:rsid w:val="00E3035B"/>
    <w:rsid w:val="00E3387B"/>
    <w:rsid w:val="00E3389A"/>
    <w:rsid w:val="00E46F3C"/>
    <w:rsid w:val="00E62552"/>
    <w:rsid w:val="00E75672"/>
    <w:rsid w:val="00EB3EDA"/>
    <w:rsid w:val="00EC66CA"/>
    <w:rsid w:val="00ED38B0"/>
    <w:rsid w:val="00ED5FEE"/>
    <w:rsid w:val="00ED779E"/>
    <w:rsid w:val="00EE0DA1"/>
    <w:rsid w:val="00EE514B"/>
    <w:rsid w:val="00EF036B"/>
    <w:rsid w:val="00F035CD"/>
    <w:rsid w:val="00F07FB0"/>
    <w:rsid w:val="00F43A91"/>
    <w:rsid w:val="00F44AF5"/>
    <w:rsid w:val="00F45781"/>
    <w:rsid w:val="00F72DDF"/>
    <w:rsid w:val="00F82605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1EAEC-B380-41AF-AD4D-F9999BC3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2359</Characters>
  <Application>Microsoft Office Word</Application>
  <DocSecurity>0</DocSecurity>
  <Lines>19</Lines>
  <Paragraphs>6</Paragraphs>
  <ScaleCrop>false</ScaleCrop>
  <Company>Lenovo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Yonghan Wen</cp:lastModifiedBy>
  <cp:revision>2</cp:revision>
  <cp:lastPrinted>2020-11-23T03:50:00Z</cp:lastPrinted>
  <dcterms:created xsi:type="dcterms:W3CDTF">2024-04-01T11:10:00Z</dcterms:created>
  <dcterms:modified xsi:type="dcterms:W3CDTF">2024-04-01T11:10:00Z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