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0758F826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0B69C9">
        <w:rPr>
          <w:rFonts w:eastAsiaTheme="minorEastAsia"/>
          <w:sz w:val="28"/>
          <w:szCs w:val="28"/>
        </w:rPr>
        <w:t>1</w:t>
      </w:r>
      <w:r w:rsidR="00C839F4"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E4192C">
        <w:rPr>
          <w:rFonts w:eastAsiaTheme="minorEastAsia" w:hint="eastAsia"/>
          <w:sz w:val="28"/>
          <w:szCs w:val="28"/>
        </w:rPr>
        <w:t>将衰减</w:t>
      </w:r>
      <w:bookmarkStart w:id="0" w:name="_GoBack"/>
      <w:bookmarkEnd w:id="0"/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2C3890B4" w:rsidR="006E3518" w:rsidRDefault="006E3518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56D9D0" w14:textId="781217CF" w:rsidR="00C839F4" w:rsidRDefault="00C839F4" w:rsidP="00972B6B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noProof/>
          <w:sz w:val="24"/>
          <w:szCs w:val="24"/>
        </w:rPr>
        <w:lastRenderedPageBreak/>
        <w:drawing>
          <wp:inline distT="0" distB="0" distL="0" distR="0" wp14:anchorId="332369F8" wp14:editId="111418E5">
            <wp:extent cx="5425440" cy="3650451"/>
            <wp:effectExtent l="0" t="0" r="0" b="0"/>
            <wp:docPr id="11253537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5" t="21122" r="8595" b="34599"/>
                    <a:stretch/>
                  </pic:blipFill>
                  <pic:spPr bwMode="auto">
                    <a:xfrm>
                      <a:off x="0" y="0"/>
                      <a:ext cx="5439454" cy="3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3AD1A" w14:textId="7981BDC8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2F3E9D">
        <w:rPr>
          <w:rFonts w:eastAsiaTheme="minorEastAsia"/>
          <w:sz w:val="24"/>
          <w:szCs w:val="24"/>
        </w:rPr>
        <w:t>1</w:t>
      </w:r>
      <w:r w:rsidR="00C839F4">
        <w:rPr>
          <w:rFonts w:eastAsiaTheme="minorEastAsia" w:hint="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</w:t>
      </w:r>
      <w:r w:rsidRPr="00A20057">
        <w:rPr>
          <w:color w:val="000000" w:themeColor="text1"/>
          <w:szCs w:val="21"/>
        </w:rPr>
        <w:lastRenderedPageBreak/>
        <w:t xml:space="preserve">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142F" w14:textId="77777777" w:rsidR="00552070" w:rsidRDefault="00552070" w:rsidP="00EC66CA">
      <w:r>
        <w:separator/>
      </w:r>
    </w:p>
  </w:endnote>
  <w:endnote w:type="continuationSeparator" w:id="0">
    <w:p w14:paraId="70122444" w14:textId="77777777" w:rsidR="00552070" w:rsidRDefault="00552070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282C" w14:textId="77777777" w:rsidR="00552070" w:rsidRDefault="00552070" w:rsidP="00EC66CA">
      <w:r>
        <w:separator/>
      </w:r>
    </w:p>
  </w:footnote>
  <w:footnote w:type="continuationSeparator" w:id="0">
    <w:p w14:paraId="09128D1B" w14:textId="77777777" w:rsidR="00552070" w:rsidRDefault="00552070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52070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23A84"/>
    <w:rsid w:val="00C31E7F"/>
    <w:rsid w:val="00C345C3"/>
    <w:rsid w:val="00C35B27"/>
    <w:rsid w:val="00C811F7"/>
    <w:rsid w:val="00C839F4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192C"/>
    <w:rsid w:val="00E46F3C"/>
    <w:rsid w:val="00E62552"/>
    <w:rsid w:val="00E75672"/>
    <w:rsid w:val="00EC66CA"/>
    <w:rsid w:val="00ED38B0"/>
    <w:rsid w:val="00ED5FEE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43E8C-0769-4028-B570-B213DD27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2542</Characters>
  <Application>Microsoft Office Word</Application>
  <DocSecurity>0</DocSecurity>
  <Lines>84</Lines>
  <Paragraphs>61</Paragraphs>
  <ScaleCrop>false</ScaleCrop>
  <Company>Lenovo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3</cp:revision>
  <cp:lastPrinted>2020-11-23T03:50:00Z</cp:lastPrinted>
  <dcterms:created xsi:type="dcterms:W3CDTF">2024-04-01T09:15:00Z</dcterms:created>
  <dcterms:modified xsi:type="dcterms:W3CDTF">2024-04-01T12:56:00Z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